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A7" w:rsidRDefault="00610B10">
      <w:pPr>
        <w:pStyle w:val="af7"/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функциональных направлений для волонтеров Финала Чемпионата </w:t>
      </w:r>
    </w:p>
    <w:p w:rsidR="008770A7" w:rsidRDefault="008770A7">
      <w:pPr>
        <w:pStyle w:val="af7"/>
        <w:ind w:left="360"/>
        <w:jc w:val="both"/>
        <w:rPr>
          <w:rFonts w:ascii="Times New Roman" w:hAnsi="Times New Roman"/>
          <w:b/>
          <w:sz w:val="28"/>
        </w:rPr>
      </w:pPr>
    </w:p>
    <w:tbl>
      <w:tblPr>
        <w:tblStyle w:val="af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6066"/>
        <w:gridCol w:w="1322"/>
      </w:tblGrid>
      <w:tr w:rsidR="008770A7">
        <w:trPr>
          <w:trHeight w:val="56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Функция</w:t>
            </w:r>
          </w:p>
        </w:tc>
        <w:tc>
          <w:tcPr>
            <w:tcW w:w="6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Описание функции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spacing w:line="253" w:lineRule="atLeast"/>
            </w:pPr>
            <w:r>
              <w:rPr>
                <w:rFonts w:ascii="Times New Roman" w:hAnsi="Times New Roman"/>
                <w:b/>
                <w:sz w:val="28"/>
              </w:rPr>
              <w:t> Возраст</w:t>
            </w:r>
          </w:p>
        </w:tc>
      </w:tr>
      <w:tr w:rsidR="008770A7">
        <w:trPr>
          <w:trHeight w:val="1825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Встречи и отправления участников и гостей̆ в транспортных узлах Санкт-Петербурга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Посадка в шаттлы участников в гостиницах и на объектах Чемпионата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Работа на информационных стойках в аэропорту / на ж/д вокзале (общение с гостями - предоставление информации)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Решение оперативных вопросов, возникающих у прибывающих гостей.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>с транспортными службами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Управление потоками организованных групп школьников в транспортных </w:t>
            </w:r>
            <w:proofErr w:type="spellStart"/>
            <w:r>
              <w:rPr>
                <w:rFonts w:ascii="Times New Roman" w:hAnsi="Times New Roman"/>
                <w:sz w:val="24"/>
              </w:rPr>
              <w:t>хабах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 КВЦ «</w:t>
            </w:r>
            <w:proofErr w:type="spellStart"/>
            <w:r>
              <w:rPr>
                <w:rFonts w:ascii="Times New Roman" w:hAnsi="Times New Roman"/>
                <w:sz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18+</w:t>
            </w:r>
          </w:p>
        </w:tc>
      </w:tr>
      <w:tr w:rsidR="008770A7">
        <w:trPr>
          <w:trHeight w:val="1490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Центр выдачи униформы и сувенирной продукции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Комплектование пакетов участника и экипировки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Выдача экипировки представителям клиентск</w:t>
            </w:r>
            <w:r>
              <w:rPr>
                <w:rFonts w:ascii="Times New Roman" w:hAnsi="Times New Roman"/>
                <w:sz w:val="24"/>
              </w:rPr>
              <w:t>их групп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Информирование о порядке выдачи экипировки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Выполнение отчётной работы (ведение ведомости выдачи униформы, работа с документами)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16+</w:t>
            </w:r>
          </w:p>
        </w:tc>
      </w:tr>
      <w:tr w:rsidR="008770A7">
        <w:trPr>
          <w:trHeight w:val="2058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Информационная служба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Помощь на информационной стойке Дирекции стойках в КВЦ «</w:t>
            </w:r>
            <w:proofErr w:type="spellStart"/>
            <w:r>
              <w:rPr>
                <w:rFonts w:ascii="Times New Roman" w:hAnsi="Times New Roman"/>
                <w:sz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предоставление необходимой информации участникам и гостям Чемпионата.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Помощь в навигации гостей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Выполнение поручений сотрудника Дирекции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 w:rsidP="002F2AE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16+</w:t>
            </w:r>
          </w:p>
        </w:tc>
      </w:tr>
      <w:tr w:rsidR="008770A7">
        <w:trPr>
          <w:trHeight w:val="2033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Навигация 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Распределение людских </w:t>
            </w:r>
            <w:r>
              <w:rPr>
                <w:rFonts w:ascii="Times New Roman" w:hAnsi="Times New Roman"/>
                <w:sz w:val="24"/>
              </w:rPr>
              <w:t>потоков на территории объектов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Предоставление информации участникам и посетителям КВЦ «</w:t>
            </w:r>
            <w:proofErr w:type="spellStart"/>
            <w:r>
              <w:rPr>
                <w:rFonts w:ascii="Times New Roman" w:hAnsi="Times New Roman"/>
                <w:sz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</w:rPr>
              <w:t>» о программе, пунктах питания, медицинском обслуживании и прочих сервисах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Консультирование посетителей у информационных </w:t>
            </w:r>
            <w:proofErr w:type="spellStart"/>
            <w:r>
              <w:rPr>
                <w:rFonts w:ascii="Times New Roman" w:hAnsi="Times New Roman"/>
                <w:sz w:val="24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</w:rPr>
              <w:t>-панелей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lastRenderedPageBreak/>
              <w:t>16+</w:t>
            </w:r>
          </w:p>
        </w:tc>
      </w:tr>
      <w:tr w:rsidR="008770A7">
        <w:trPr>
          <w:trHeight w:val="1194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Питание 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Управление потоками гостей в зонах питания (формирование потоков, очередей, перенаправление потоков на другие точки питания во избежание столпотворения)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Консультация гостей по вопросам питания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Помощь администраторам (охране) в период наибольшего наплыва в </w:t>
            </w:r>
            <w:r>
              <w:rPr>
                <w:rFonts w:ascii="Times New Roman" w:hAnsi="Times New Roman"/>
                <w:sz w:val="24"/>
              </w:rPr>
              <w:t>части работы с QR сканерами и сверки данных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16+</w:t>
            </w:r>
          </w:p>
        </w:tc>
      </w:tr>
      <w:tr w:rsidR="008770A7">
        <w:trPr>
          <w:trHeight w:val="1612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Помощь с иностранными и российским высокопоставленными официальными лицами и делегациями;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Координация деятельности VIP-зоны (порядок в зоне, наличие необходимых материалов), сопровождение VIP-гостей на объекте и в другие зоны.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Управление зонами отдыха и местами на трибунах, предназначенных для высокопоставленных гостей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Встреча и сопровождение </w:t>
            </w:r>
            <w:r>
              <w:rPr>
                <w:rFonts w:ascii="Times New Roman" w:hAnsi="Times New Roman"/>
                <w:sz w:val="24"/>
              </w:rPr>
              <w:t>гостей на официальном приёме, помощь при рассадке гостей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Встреча/проводы из/в аэропорт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20+</w:t>
            </w:r>
          </w:p>
        </w:tc>
      </w:tr>
      <w:tr w:rsidR="008770A7">
        <w:trPr>
          <w:trHeight w:val="3207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Деловая программа 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Оформление зала заседания: подготовка кувертов, установка настольных протокольных флагов (по необходимости), раскладка раздаточного материала, вынос микрофонов, стульев, работа с крупным и мелким реквизитом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Координация сервисных служб зала: </w:t>
            </w:r>
            <w:proofErr w:type="spellStart"/>
            <w:r>
              <w:rPr>
                <w:rFonts w:ascii="Times New Roman" w:hAnsi="Times New Roman"/>
                <w:sz w:val="24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4"/>
              </w:rPr>
              <w:t>, клима</w:t>
            </w:r>
            <w:r>
              <w:rPr>
                <w:rFonts w:ascii="Times New Roman" w:hAnsi="Times New Roman"/>
                <w:sz w:val="24"/>
              </w:rPr>
              <w:t>т-контроль, технические специалисты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Содействие при подготовке материалов к заседаниям (совещаниям): сбор и обработка полученной информации, комплектование, копирование и скрепление материалов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lastRenderedPageBreak/>
              <w:t>Содействие при проведении процедуры регистрации участников и при</w:t>
            </w:r>
            <w:r>
              <w:rPr>
                <w:rFonts w:ascii="Times New Roman" w:hAnsi="Times New Roman"/>
                <w:sz w:val="24"/>
              </w:rPr>
              <w:t xml:space="preserve">глашенных на заседание (совещание)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Работа с выступающими, встреча и сопровождение до зала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Подготовка и распределение наградной̆ продукции в рамках деловой̆ программы (в случае необходимости)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Ответы на вопросы посетителей̆, работа с предложениями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Помощь в</w:t>
            </w:r>
            <w:r>
              <w:rPr>
                <w:rFonts w:ascii="Times New Roman" w:hAnsi="Times New Roman"/>
                <w:sz w:val="24"/>
              </w:rPr>
              <w:t xml:space="preserve"> раздаче/сборе наушников синхронного перевода;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переводчиками (предоставление материалов, содействие в решении возникающих вопросов)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Распределение людских потоков, помощь с рассадкой гостей в зале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lastRenderedPageBreak/>
              <w:t>20+</w:t>
            </w:r>
          </w:p>
        </w:tc>
      </w:tr>
      <w:tr w:rsidR="008770A7">
        <w:trPr>
          <w:trHeight w:val="1450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spacing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Экскурсионная программа 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ознакомительных экскурсионных программ для групп школьников и представителей прессы в зоне соревнований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Рассказ о компетенции и проведение интерактивных занятий с посетителями выставки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Информационная поддержка групп школьников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Ответы на вопросы посетител</w:t>
            </w:r>
            <w:r>
              <w:rPr>
                <w:rFonts w:ascii="Times New Roman" w:hAnsi="Times New Roman"/>
                <w:sz w:val="24"/>
              </w:rPr>
              <w:t>ей̆ - зрителей компетенций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Проведение экскурсий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20+</w:t>
            </w:r>
          </w:p>
        </w:tc>
      </w:tr>
      <w:tr w:rsidR="008770A7">
        <w:trPr>
          <w:trHeight w:val="3444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Церемонии Открытия и Закрытия, Культурная программа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Вовлечение в подготовку и проведение церемоний открытия и закрытия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Подготовка залов Церемонии открытия и закрытия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Работа на входе, </w:t>
            </w:r>
            <w:r>
              <w:rPr>
                <w:rFonts w:ascii="Times New Roman" w:hAnsi="Times New Roman"/>
                <w:sz w:val="24"/>
              </w:rPr>
              <w:t>сканирование QR-кодов на билетах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Общая логистика, помощь в рассадке клиентских групп по секторам, равномерное заполнение зала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Сопровождение команд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Подготовка и распределение наградной продукции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lastRenderedPageBreak/>
              <w:t>Контроль за чистотой в зале и своевременное информирование отв</w:t>
            </w:r>
            <w:r>
              <w:rPr>
                <w:rFonts w:ascii="Times New Roman" w:hAnsi="Times New Roman"/>
                <w:sz w:val="24"/>
              </w:rPr>
              <w:t>етственных лиц о необходимости уборки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Навигация по площадке Церемонии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Помощь в комплектовании наградной продукции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Организация рассадки в зале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lastRenderedPageBreak/>
              <w:t>16+</w:t>
            </w:r>
          </w:p>
        </w:tc>
      </w:tr>
      <w:tr w:rsidR="008770A7">
        <w:trPr>
          <w:trHeight w:val="1510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Операционная команда (Штабы)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Содействие при подготовке и оснащении функционирования штаба волонтеров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документами, копирование, выдача ТМЦ под роспись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Выдача талонов на питание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Сбор подписей волонтеров в ведомости на питание и пр.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Учет явки волонтеров на смены, взаимодействие с функциональными координаторами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Временная замена волонтеров других направлений </w:t>
            </w:r>
            <w:r>
              <w:rPr>
                <w:rFonts w:ascii="Times New Roman" w:hAnsi="Times New Roman"/>
                <w:sz w:val="24"/>
              </w:rPr>
              <w:t>на позиции в случае необходимости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Координация сервисных служб зала волонтерского штаба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Помощь в штабах Организаторов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 w:rsidP="002F2AE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bookmarkStart w:id="0" w:name="_GoBack"/>
            <w:r>
              <w:rPr>
                <w:rFonts w:ascii="Times New Roman" w:hAnsi="Times New Roman"/>
                <w:sz w:val="24"/>
              </w:rPr>
              <w:t>6+</w:t>
            </w:r>
            <w:bookmarkEnd w:id="0"/>
          </w:p>
        </w:tc>
      </w:tr>
      <w:tr w:rsidR="008770A7">
        <w:trPr>
          <w:trHeight w:val="2151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Пресс-служба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Формирование базы 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адресов региональных тематических СМИ для рассылки пресс-релизов (место работы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Электронная </w:t>
            </w:r>
            <w:r>
              <w:rPr>
                <w:rFonts w:ascii="Times New Roman" w:hAnsi="Times New Roman"/>
                <w:sz w:val="24"/>
              </w:rPr>
              <w:t>рассылка пресс-релизов по собранной 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</w:rPr>
              <w:t>-базе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Экскурсионное сопровождение, а также навигация прессы (российской и международной) на основной площадке проведения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Сортировка и комплектование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мерча</w:t>
            </w:r>
            <w:proofErr w:type="spellEnd"/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Работа за информационной стойкой (для гостей мер</w:t>
            </w:r>
            <w:r>
              <w:rPr>
                <w:rFonts w:ascii="Times New Roman" w:hAnsi="Times New Roman"/>
                <w:sz w:val="24"/>
              </w:rPr>
              <w:t>оприятия – свободные посетители) в дни проведения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Аккредитация за информационной стойкой и вручение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мерча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неорганизованным посетителям;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Размещение рекламной полиграфии в </w:t>
            </w:r>
            <w:proofErr w:type="spellStart"/>
            <w:r>
              <w:rPr>
                <w:rFonts w:ascii="Times New Roman" w:hAnsi="Times New Roman"/>
                <w:sz w:val="24"/>
              </w:rPr>
              <w:t>буклетницы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Раздача промо-сувениров бесплатно в пассаже </w:t>
            </w:r>
            <w:proofErr w:type="spellStart"/>
            <w:r>
              <w:rPr>
                <w:rFonts w:ascii="Times New Roman" w:hAnsi="Times New Roman"/>
                <w:sz w:val="24"/>
              </w:rPr>
              <w:t>Экспофорума</w:t>
            </w:r>
            <w:proofErr w:type="spellEnd"/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Раздача</w:t>
            </w:r>
            <w:r>
              <w:rPr>
                <w:rFonts w:ascii="Times New Roman" w:hAnsi="Times New Roman"/>
                <w:sz w:val="24"/>
              </w:rPr>
              <w:t xml:space="preserve"> промо-сувениров бесплатно в месте проведения Церемоний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Встреча представителей СМИ и проверка их аккредитации в списках на Церемонии открытия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Встреча представителей СМИ и проверка их аккредитации в списках на Церемонии закрытия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Бронир</w:t>
            </w:r>
            <w:r>
              <w:rPr>
                <w:rFonts w:ascii="Times New Roman" w:hAnsi="Times New Roman"/>
                <w:sz w:val="24"/>
              </w:rPr>
              <w:t xml:space="preserve">ование мест для СМИ в залах: </w:t>
            </w:r>
            <w:proofErr w:type="spellStart"/>
            <w:r>
              <w:rPr>
                <w:rFonts w:ascii="Times New Roman" w:hAnsi="Times New Roman"/>
                <w:sz w:val="24"/>
              </w:rPr>
              <w:t>пленар</w:t>
            </w:r>
            <w:proofErr w:type="spellEnd"/>
            <w:r>
              <w:rPr>
                <w:rFonts w:ascii="Times New Roman" w:hAnsi="Times New Roman"/>
                <w:sz w:val="24"/>
              </w:rPr>
              <w:t>, Церемонии открытия и закрытия Чемпионата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 xml:space="preserve">Размещение дипломов для награждения в рамки перед </w:t>
            </w:r>
            <w:proofErr w:type="spellStart"/>
            <w:r>
              <w:rPr>
                <w:rFonts w:ascii="Times New Roman" w:hAnsi="Times New Roman"/>
                <w:sz w:val="24"/>
              </w:rPr>
              <w:t>Цермонией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Закрытия Чемпионата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lastRenderedPageBreak/>
              <w:t>18+</w:t>
            </w:r>
          </w:p>
        </w:tc>
      </w:tr>
      <w:tr w:rsidR="008770A7">
        <w:trPr>
          <w:trHeight w:val="2360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Ассистенты соревновательных площадок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Оснащение рабочих мест конкурсантов и экспертов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Подготовка расходных материалов и инвентаря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Уборка рабочих мест по окончании соревнований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Содействие участникам и экспертам в бытовых вопросах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Консультирование по расписанию конкурсного дня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</w:rPr>
              <w:t>Информирование посетителей о происходящем на площадке (компетенция</w:t>
            </w:r>
            <w:r>
              <w:rPr>
                <w:rFonts w:ascii="Times New Roman" w:hAnsi="Times New Roman"/>
                <w:sz w:val="24"/>
              </w:rPr>
              <w:t>, задание, критерии оценки) и специфике компетенции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16+</w:t>
            </w:r>
          </w:p>
        </w:tc>
      </w:tr>
      <w:tr w:rsidR="008770A7">
        <w:trPr>
          <w:trHeight w:val="2360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t>Атташе иностранных делегаций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>
              <w:rPr>
                <w:rFonts w:ascii="Times New Roman" w:hAnsi="Times New Roman"/>
                <w:sz w:val="24"/>
                <w:highlight w:val="white"/>
              </w:rPr>
              <w:t>Встреча делегаций в аэропорту и сопровождение до гостиницы;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>
              <w:rPr>
                <w:rFonts w:ascii="Times New Roman" w:hAnsi="Times New Roman"/>
                <w:sz w:val="24"/>
                <w:highlight w:val="white"/>
              </w:rPr>
              <w:t>Выполнение поручений делегаций и обеспечение комфортного пребывания во время Чемпионата;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Сопровождение глав </w:t>
            </w:r>
            <w:r>
              <w:rPr>
                <w:rFonts w:ascii="Times New Roman" w:hAnsi="Times New Roman"/>
                <w:sz w:val="24"/>
                <w:highlight w:val="white"/>
              </w:rPr>
              <w:t>делегаций и выполнение роли ассистента при решении любых возникающих вопросов;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>
              <w:rPr>
                <w:rFonts w:ascii="Times New Roman" w:hAnsi="Times New Roman"/>
                <w:sz w:val="24"/>
                <w:highlight w:val="white"/>
              </w:rPr>
              <w:t>Сопровождение делегации до места проведения Чемпионата и других сопутствующих мероприятий;</w:t>
            </w:r>
          </w:p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  <w:highlight w:val="white"/>
              </w:rPr>
              <w:t>Помощь с неформальным переводом в случае необходимости</w:t>
            </w:r>
          </w:p>
          <w:p w:rsidR="008770A7" w:rsidRDefault="00610B10">
            <w:pPr>
              <w:ind w:left="895"/>
            </w:pPr>
            <w:r>
              <w:rPr>
                <w:rFonts w:ascii="Times New Roman" w:hAnsi="Times New Roman"/>
                <w:sz w:val="24"/>
                <w:highlight w:val="white"/>
              </w:rPr>
              <w:t>Помощь участникам во время соре</w:t>
            </w:r>
            <w:r>
              <w:rPr>
                <w:rFonts w:ascii="Times New Roman" w:hAnsi="Times New Roman"/>
                <w:sz w:val="24"/>
                <w:highlight w:val="white"/>
              </w:rPr>
              <w:t>внований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 20+</w:t>
            </w:r>
          </w:p>
        </w:tc>
      </w:tr>
      <w:tr w:rsidR="008770A7">
        <w:trPr>
          <w:trHeight w:val="2360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tabs>
                <w:tab w:val="left" w:pos="9025"/>
              </w:tabs>
              <w:spacing w:before="200" w:line="253" w:lineRule="atLeast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Статисты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A7" w:rsidRDefault="00610B10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в конкурсном задании на площадке соревнований в качестве актера по заданной роли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A7" w:rsidRDefault="00610B10">
            <w:pPr>
              <w:ind w:left="360"/>
            </w:pPr>
            <w:r>
              <w:rPr>
                <w:rFonts w:ascii="Times New Roman" w:hAnsi="Times New Roman"/>
                <w:sz w:val="24"/>
              </w:rPr>
              <w:t>16+</w:t>
            </w:r>
          </w:p>
        </w:tc>
      </w:tr>
    </w:tbl>
    <w:p w:rsidR="008770A7" w:rsidRDefault="008770A7">
      <w:pPr>
        <w:pStyle w:val="3"/>
        <w:widowControl w:val="0"/>
        <w:spacing w:line="240" w:lineRule="auto"/>
        <w:jc w:val="both"/>
        <w:rPr>
          <w:rFonts w:ascii="Times New Roman" w:hAnsi="Times New Roman"/>
        </w:rPr>
      </w:pPr>
    </w:p>
    <w:p w:rsidR="008770A7" w:rsidRDefault="008770A7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hAnsi="Times New Roman"/>
          <w:sz w:val="28"/>
          <w:shd w:val="clear" w:color="auto" w:fill="92FF99"/>
        </w:rPr>
      </w:pPr>
    </w:p>
    <w:sectPr w:rsidR="008770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10" w:rsidRDefault="00610B10">
      <w:pPr>
        <w:spacing w:line="240" w:lineRule="auto"/>
      </w:pPr>
      <w:r>
        <w:separator/>
      </w:r>
    </w:p>
  </w:endnote>
  <w:endnote w:type="continuationSeparator" w:id="0">
    <w:p w:rsidR="00610B10" w:rsidRDefault="00610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A7" w:rsidRDefault="008770A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10" w:rsidRDefault="00610B10">
      <w:pPr>
        <w:spacing w:line="240" w:lineRule="auto"/>
      </w:pPr>
      <w:r>
        <w:separator/>
      </w:r>
    </w:p>
  </w:footnote>
  <w:footnote w:type="continuationSeparator" w:id="0">
    <w:p w:rsidR="00610B10" w:rsidRDefault="00610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A7" w:rsidRDefault="008770A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46813"/>
    <w:multiLevelType w:val="multilevel"/>
    <w:tmpl w:val="C0C86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7"/>
    <w:rsid w:val="002F2AEB"/>
    <w:rsid w:val="00610B10"/>
    <w:rsid w:val="008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D571-C370-45A5-BCEB-765928BA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  <w:rPr>
      <w:rFonts w:ascii="Arial" w:hAnsi="Arial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320" w:after="80" w:line="276" w:lineRule="auto"/>
      <w:outlineLvl w:val="2"/>
    </w:pPr>
    <w:rPr>
      <w:rFonts w:ascii="Arial" w:hAnsi="Arial"/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z w:val="22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Arial" w:hAnsi="Arial"/>
      <w:color w:val="000000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Arial" w:hAnsi="Arial"/>
      <w:color w:val="000000"/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Arial" w:hAnsi="Arial"/>
      <w:color w:val="000000"/>
      <w:sz w:val="22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Arial" w:hAnsi="Arial"/>
      <w:color w:val="000000"/>
      <w:sz w:val="22"/>
    </w:rPr>
  </w:style>
  <w:style w:type="paragraph" w:customStyle="1" w:styleId="Endnote">
    <w:name w:val="Endnote"/>
    <w:basedOn w:val="a"/>
    <w:link w:val="Endnote0"/>
    <w:pPr>
      <w:spacing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rFonts w:ascii="Arial" w:hAnsi="Arial"/>
      <w:color w:val="000000"/>
      <w:sz w:val="20"/>
    </w:rPr>
  </w:style>
  <w:style w:type="character" w:customStyle="1" w:styleId="30">
    <w:name w:val="Заголовок 3 Знак"/>
    <w:link w:val="3"/>
    <w:rPr>
      <w:rFonts w:ascii="Arial" w:hAnsi="Arial"/>
      <w:color w:val="434343"/>
      <w:sz w:val="28"/>
    </w:rPr>
  </w:style>
  <w:style w:type="paragraph" w:styleId="a3">
    <w:name w:val="Balloon Text"/>
    <w:basedOn w:val="a"/>
    <w:link w:val="a4"/>
    <w:pPr>
      <w:spacing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23">
    <w:name w:val="Стиль таблицы 2"/>
    <w:link w:val="24"/>
    <w:rPr>
      <w:rFonts w:ascii="Helvetica Neue" w:hAnsi="Helvetica Neue"/>
    </w:rPr>
  </w:style>
  <w:style w:type="character" w:customStyle="1" w:styleId="24">
    <w:name w:val="Стиль таблицы 2"/>
    <w:link w:val="23"/>
    <w:rPr>
      <w:rFonts w:ascii="Helvetica Neue" w:hAnsi="Helvetica Neue"/>
      <w:color w:val="000000"/>
    </w:rPr>
  </w:style>
  <w:style w:type="paragraph" w:customStyle="1" w:styleId="a6">
    <w:name w:val="По умолчанию"/>
    <w:link w:val="a7"/>
    <w:pPr>
      <w:spacing w:before="160" w:line="288" w:lineRule="auto"/>
    </w:pPr>
    <w:rPr>
      <w:rFonts w:ascii="Helvetica Neue" w:hAnsi="Helvetica Neue"/>
      <w:sz w:val="24"/>
    </w:rPr>
  </w:style>
  <w:style w:type="character" w:customStyle="1" w:styleId="a7">
    <w:name w:val="По умолчанию"/>
    <w:link w:val="a6"/>
    <w:rPr>
      <w:rFonts w:ascii="Helvetica Neue" w:hAnsi="Helvetica Neue"/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Arial" w:hAnsi="Arial"/>
      <w:color w:val="000000"/>
      <w:sz w:val="22"/>
    </w:rPr>
  </w:style>
  <w:style w:type="paragraph" w:customStyle="1" w:styleId="13">
    <w:name w:val="Основной шрифт абзаца1"/>
    <w:link w:val="Heading3Char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rFonts w:ascii="Arial" w:hAnsi="Arial"/>
      <w:i/>
      <w:color w:val="000000"/>
      <w:sz w:val="22"/>
    </w:rPr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rFonts w:ascii="Arial" w:hAnsi="Arial"/>
      <w:i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color w:val="000000"/>
      <w:sz w:val="40"/>
    </w:rPr>
  </w:style>
  <w:style w:type="paragraph" w:styleId="ac">
    <w:name w:val="No Spacing"/>
    <w:link w:val="ad"/>
  </w:style>
  <w:style w:type="character" w:customStyle="1" w:styleId="ad">
    <w:name w:val="Без интервала Знак"/>
    <w:link w:val="ac"/>
  </w:style>
  <w:style w:type="paragraph" w:customStyle="1" w:styleId="ae">
    <w:name w:val="Нет"/>
    <w:link w:val="af"/>
  </w:style>
  <w:style w:type="character" w:customStyle="1" w:styleId="af">
    <w:name w:val="Нет"/>
    <w:link w:val="ae"/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</w:rPr>
  </w:style>
  <w:style w:type="character" w:customStyle="1" w:styleId="af1">
    <w:name w:val="Нижний колонтитул Знак"/>
    <w:basedOn w:val="1"/>
    <w:link w:val="af0"/>
    <w:rPr>
      <w:rFonts w:asciiTheme="minorHAnsi" w:hAnsiTheme="minorHAnsi"/>
      <w:color w:val="000000"/>
      <w:sz w:val="22"/>
    </w:rPr>
  </w:style>
  <w:style w:type="paragraph" w:customStyle="1" w:styleId="14">
    <w:name w:val="Гиперссылка1"/>
    <w:link w:val="af2"/>
    <w:rPr>
      <w:u w:val="single"/>
    </w:rPr>
  </w:style>
  <w:style w:type="character" w:styleId="af2">
    <w:name w:val="Hyperlink"/>
    <w:link w:val="14"/>
    <w:rPr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rFonts w:ascii="Arial" w:hAnsi="Arial"/>
      <w:color w:val="00000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aptionChar">
    <w:name w:val="Caption Char"/>
    <w:basedOn w:val="af3"/>
    <w:link w:val="CaptionChar0"/>
  </w:style>
  <w:style w:type="character" w:customStyle="1" w:styleId="CaptionChar0">
    <w:name w:val="Caption Char"/>
    <w:basedOn w:val="af4"/>
    <w:link w:val="CaptionChar"/>
    <w:rPr>
      <w:rFonts w:ascii="Arial" w:hAnsi="Arial"/>
      <w:b/>
      <w:color w:val="4F81BD" w:themeColor="accent1"/>
      <w:sz w:val="18"/>
    </w:rPr>
  </w:style>
  <w:style w:type="paragraph" w:styleId="af5">
    <w:name w:val="header"/>
    <w:basedOn w:val="a"/>
    <w:link w:val="af6"/>
    <w:pPr>
      <w:tabs>
        <w:tab w:val="center" w:pos="7143"/>
        <w:tab w:val="right" w:pos="14287"/>
      </w:tabs>
      <w:spacing w:line="240" w:lineRule="auto"/>
    </w:pPr>
  </w:style>
  <w:style w:type="character" w:customStyle="1" w:styleId="af6">
    <w:name w:val="Верхний колонтитул Знак"/>
    <w:basedOn w:val="1"/>
    <w:link w:val="af5"/>
    <w:rPr>
      <w:rFonts w:ascii="Arial" w:hAnsi="Arial"/>
      <w:color w:val="000000"/>
      <w:sz w:val="22"/>
    </w:rPr>
  </w:style>
  <w:style w:type="paragraph" w:customStyle="1" w:styleId="Hyperlink1">
    <w:name w:val="Hyperlink.1"/>
    <w:basedOn w:val="14"/>
    <w:link w:val="Hyperlink10"/>
    <w:rPr>
      <w:color w:val="0000FF"/>
    </w:rPr>
  </w:style>
  <w:style w:type="character" w:customStyle="1" w:styleId="Hyperlink10">
    <w:name w:val="Hyperlink.1"/>
    <w:basedOn w:val="af2"/>
    <w:link w:val="Hyperlink1"/>
    <w:rPr>
      <w:color w:val="0000FF"/>
      <w:u w:val="single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Arial" w:hAnsi="Arial"/>
      <w:color w:val="000000"/>
      <w:sz w:val="22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Arial" w:hAnsi="Arial"/>
      <w:color w:val="000000"/>
      <w:sz w:val="22"/>
    </w:rPr>
  </w:style>
  <w:style w:type="paragraph" w:customStyle="1" w:styleId="2A">
    <w:name w:val="Стиль таблицы 2 A"/>
    <w:link w:val="2A0"/>
    <w:pPr>
      <w:spacing w:line="276" w:lineRule="auto"/>
    </w:pPr>
    <w:rPr>
      <w:rFonts w:ascii="Helvetica Neue" w:hAnsi="Helvetica Neue"/>
    </w:rPr>
  </w:style>
  <w:style w:type="character" w:customStyle="1" w:styleId="2A0">
    <w:name w:val="Стиль таблицы 2 A"/>
    <w:link w:val="2A"/>
    <w:rPr>
      <w:rFonts w:ascii="Helvetica Neue" w:hAnsi="Helvetica Neue"/>
      <w:color w:val="000000"/>
    </w:rPr>
  </w:style>
  <w:style w:type="paragraph" w:styleId="af7">
    <w:name w:val="List Paragraph"/>
    <w:link w:val="af8"/>
    <w:pPr>
      <w:spacing w:line="276" w:lineRule="auto"/>
      <w:ind w:left="720"/>
    </w:pPr>
    <w:rPr>
      <w:rFonts w:ascii="Arial" w:hAnsi="Arial"/>
      <w:sz w:val="22"/>
    </w:rPr>
  </w:style>
  <w:style w:type="character" w:customStyle="1" w:styleId="af8">
    <w:name w:val="Абзац списка Знак"/>
    <w:link w:val="af7"/>
    <w:rPr>
      <w:rFonts w:ascii="Arial" w:hAnsi="Arial"/>
      <w:color w:val="000000"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Arial" w:hAnsi="Arial"/>
      <w:color w:val="000000"/>
      <w:sz w:val="22"/>
    </w:rPr>
  </w:style>
  <w:style w:type="paragraph" w:customStyle="1" w:styleId="af9">
    <w:name w:val="Колонтитулы"/>
    <w:link w:val="afa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fa">
    <w:name w:val="Колонтитулы"/>
    <w:link w:val="af9"/>
    <w:rPr>
      <w:rFonts w:ascii="Helvetica Neue" w:hAnsi="Helvetica Neue"/>
      <w:color w:val="000000"/>
      <w:sz w:val="24"/>
    </w:rPr>
  </w:style>
  <w:style w:type="paragraph" w:styleId="af3">
    <w:name w:val="caption"/>
    <w:basedOn w:val="a"/>
    <w:next w:val="a"/>
    <w:link w:val="af4"/>
    <w:rPr>
      <w:b/>
      <w:color w:val="4F81BD" w:themeColor="accent1"/>
      <w:sz w:val="18"/>
    </w:rPr>
  </w:style>
  <w:style w:type="character" w:customStyle="1" w:styleId="af4">
    <w:name w:val="Название объекта Знак"/>
    <w:basedOn w:val="1"/>
    <w:link w:val="af3"/>
    <w:rPr>
      <w:rFonts w:ascii="Arial" w:hAnsi="Arial"/>
      <w:b/>
      <w:color w:val="4F81BD" w:themeColor="accent1"/>
      <w:sz w:val="18"/>
    </w:rPr>
  </w:style>
  <w:style w:type="paragraph" w:customStyle="1" w:styleId="Hyperlink0">
    <w:name w:val="Hyperlink.0"/>
    <w:basedOn w:val="ae"/>
    <w:link w:val="Hyperlink00"/>
    <w:rPr>
      <w:color w:val="0000FF"/>
      <w:highlight w:val="yellow"/>
      <w:u w:val="single"/>
    </w:rPr>
  </w:style>
  <w:style w:type="character" w:customStyle="1" w:styleId="Hyperlink00">
    <w:name w:val="Hyperlink.0"/>
    <w:basedOn w:val="af"/>
    <w:link w:val="Hyperlink0"/>
    <w:rPr>
      <w:color w:val="0000FF"/>
      <w:highlight w:val="yellow"/>
      <w:u w:val="single"/>
    </w:rPr>
  </w:style>
  <w:style w:type="paragraph" w:customStyle="1" w:styleId="17">
    <w:name w:val="Знак концевой сноски1"/>
    <w:basedOn w:val="13"/>
    <w:link w:val="afb"/>
    <w:rPr>
      <w:vertAlign w:val="superscript"/>
    </w:rPr>
  </w:style>
  <w:style w:type="character" w:styleId="afb">
    <w:name w:val="endnote reference"/>
    <w:basedOn w:val="a0"/>
    <w:link w:val="17"/>
    <w:rPr>
      <w:vertAlign w:val="superscript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rFonts w:ascii="Arial" w:hAnsi="Arial"/>
      <w:color w:val="000000"/>
      <w:sz w:val="24"/>
    </w:rPr>
  </w:style>
  <w:style w:type="paragraph" w:styleId="afe">
    <w:name w:val="table of figures"/>
    <w:basedOn w:val="a"/>
    <w:next w:val="a"/>
    <w:link w:val="aff"/>
  </w:style>
  <w:style w:type="character" w:customStyle="1" w:styleId="aff">
    <w:name w:val="Перечень рисунков Знак"/>
    <w:basedOn w:val="1"/>
    <w:link w:val="afe"/>
    <w:rPr>
      <w:rFonts w:ascii="Arial" w:hAnsi="Arial"/>
      <w:color w:val="000000"/>
      <w:sz w:val="22"/>
    </w:rPr>
  </w:style>
  <w:style w:type="paragraph" w:styleId="aff0">
    <w:name w:val="Title"/>
    <w:basedOn w:val="a"/>
    <w:next w:val="a"/>
    <w:link w:val="aff1"/>
    <w:uiPriority w:val="10"/>
    <w:qFormat/>
    <w:pPr>
      <w:spacing w:before="300" w:after="200"/>
      <w:contextualSpacing/>
    </w:pPr>
    <w:rPr>
      <w:sz w:val="48"/>
    </w:rPr>
  </w:style>
  <w:style w:type="character" w:customStyle="1" w:styleId="aff1">
    <w:name w:val="Заголовок Знак"/>
    <w:basedOn w:val="1"/>
    <w:link w:val="aff0"/>
    <w:rPr>
      <w:rFonts w:ascii="Arial" w:hAnsi="Arial"/>
      <w:color w:val="000000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color w:val="000000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color w:val="000000"/>
      <w:sz w:val="34"/>
    </w:rPr>
  </w:style>
  <w:style w:type="paragraph" w:customStyle="1" w:styleId="Aff2">
    <w:name w:val="По умолчанию A"/>
    <w:link w:val="Aff3"/>
    <w:pPr>
      <w:spacing w:before="160" w:line="288" w:lineRule="auto"/>
    </w:pPr>
    <w:rPr>
      <w:rFonts w:ascii="Helvetica Neue" w:hAnsi="Helvetica Neue"/>
      <w:sz w:val="24"/>
    </w:rPr>
  </w:style>
  <w:style w:type="character" w:customStyle="1" w:styleId="Aff3">
    <w:name w:val="По умолчанию A"/>
    <w:link w:val="Aff2"/>
    <w:rPr>
      <w:rFonts w:ascii="Helvetica Neue" w:hAnsi="Helvetica Neue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paragraph" w:customStyle="1" w:styleId="18">
    <w:name w:val="Знак примечания1"/>
    <w:basedOn w:val="13"/>
    <w:link w:val="aff4"/>
    <w:rPr>
      <w:sz w:val="16"/>
    </w:rPr>
  </w:style>
  <w:style w:type="character" w:styleId="aff4">
    <w:name w:val="annotation reference"/>
    <w:basedOn w:val="a0"/>
    <w:link w:val="18"/>
    <w:rPr>
      <w:sz w:val="16"/>
    </w:rPr>
  </w:style>
  <w:style w:type="paragraph" w:styleId="aff5">
    <w:name w:val="annotation text"/>
    <w:basedOn w:val="a"/>
    <w:link w:val="aff6"/>
    <w:pPr>
      <w:spacing w:after="160" w:line="240" w:lineRule="auto"/>
    </w:pPr>
    <w:rPr>
      <w:rFonts w:asciiTheme="minorHAnsi" w:hAnsiTheme="minorHAnsi"/>
      <w:sz w:val="20"/>
    </w:rPr>
  </w:style>
  <w:style w:type="character" w:customStyle="1" w:styleId="aff6">
    <w:name w:val="Текст примечания Знак"/>
    <w:basedOn w:val="1"/>
    <w:link w:val="aff5"/>
    <w:rPr>
      <w:rFonts w:asciiTheme="minorHAnsi" w:hAnsiTheme="minorHAnsi"/>
      <w:color w:val="000000"/>
      <w:sz w:val="20"/>
    </w:r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27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styleId="33">
    <w:name w:val="Plain Table 3"/>
    <w:basedOn w:val="a1"/>
    <w:tblPr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19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styleId="-10">
    <w:name w:val="List Table 1 Light"/>
    <w:basedOn w:val="a1"/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styleId="53">
    <w:name w:val="Plain Table 5"/>
    <w:basedOn w:val="a1"/>
    <w:tblPr/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styleId="43">
    <w:name w:val="Plain Table 4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Побидаш Екатерина Владимировна</cp:lastModifiedBy>
  <cp:revision>2</cp:revision>
  <dcterms:created xsi:type="dcterms:W3CDTF">2025-06-05T11:29:00Z</dcterms:created>
  <dcterms:modified xsi:type="dcterms:W3CDTF">2025-06-05T11:29:00Z</dcterms:modified>
</cp:coreProperties>
</file>